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6869" w:rsidRDefault="00826869" w:rsidP="0032004B">
      <w:pPr>
        <w:spacing w:after="0" w:line="480" w:lineRule="auto"/>
        <w:jc w:val="both"/>
        <w:rPr>
          <w:rFonts w:asciiTheme="majorBidi" w:hAnsiTheme="majorBidi" w:cstheme="majorBidi"/>
          <w:b/>
          <w:bCs/>
          <w:sz w:val="24"/>
          <w:szCs w:val="24"/>
        </w:rPr>
      </w:pPr>
      <w:r w:rsidRPr="000E5EB0">
        <w:rPr>
          <w:rFonts w:asciiTheme="majorBidi" w:hAnsiTheme="majorBidi" w:cstheme="majorBidi"/>
          <w:b/>
          <w:bCs/>
          <w:sz w:val="24"/>
          <w:szCs w:val="24"/>
        </w:rPr>
        <w:t>Supplementary File 2:</w:t>
      </w:r>
    </w:p>
    <w:p w:rsidR="000E5EB0" w:rsidRPr="000E5EB0" w:rsidRDefault="000E5EB0" w:rsidP="008A2930">
      <w:pPr>
        <w:spacing w:after="0" w:line="480" w:lineRule="auto"/>
        <w:jc w:val="center"/>
        <w:rPr>
          <w:rFonts w:asciiTheme="majorBidi" w:hAnsiTheme="majorBidi" w:cstheme="majorBidi"/>
          <w:b/>
          <w:bCs/>
          <w:sz w:val="24"/>
          <w:szCs w:val="24"/>
        </w:rPr>
      </w:pPr>
      <w:r>
        <w:rPr>
          <w:rFonts w:asciiTheme="majorBidi" w:hAnsiTheme="majorBidi" w:cstheme="majorBidi"/>
          <w:b/>
          <w:bCs/>
          <w:sz w:val="24"/>
          <w:szCs w:val="24"/>
        </w:rPr>
        <w:t>The s</w:t>
      </w:r>
      <w:r w:rsidR="008A2930">
        <w:rPr>
          <w:rFonts w:asciiTheme="majorBidi" w:hAnsiTheme="majorBidi" w:cstheme="majorBidi"/>
          <w:b/>
          <w:bCs/>
          <w:sz w:val="24"/>
          <w:szCs w:val="24"/>
        </w:rPr>
        <w:t>e</w:t>
      </w:r>
      <w:r>
        <w:rPr>
          <w:rFonts w:asciiTheme="majorBidi" w:hAnsiTheme="majorBidi" w:cstheme="majorBidi"/>
          <w:b/>
          <w:bCs/>
          <w:sz w:val="24"/>
          <w:szCs w:val="24"/>
        </w:rPr>
        <w:t>x-based analysis of data</w:t>
      </w:r>
    </w:p>
    <w:p w:rsidR="0032004B" w:rsidRDefault="0032004B" w:rsidP="0003543B">
      <w:pPr>
        <w:spacing w:after="0" w:line="480" w:lineRule="auto"/>
        <w:jc w:val="both"/>
        <w:rPr>
          <w:rFonts w:asciiTheme="majorBidi" w:hAnsiTheme="majorBidi" w:cstheme="majorBidi"/>
        </w:rPr>
      </w:pPr>
      <w:r w:rsidRPr="00E85A58">
        <w:rPr>
          <w:rFonts w:asciiTheme="majorBidi" w:hAnsiTheme="majorBidi" w:cstheme="majorBidi"/>
        </w:rPr>
        <w:t>We evaluated the result to see whether or not the s</w:t>
      </w:r>
      <w:r w:rsidR="0021185E">
        <w:rPr>
          <w:rFonts w:asciiTheme="majorBidi" w:hAnsiTheme="majorBidi" w:cstheme="majorBidi"/>
        </w:rPr>
        <w:t>e</w:t>
      </w:r>
      <w:r w:rsidRPr="00E85A58">
        <w:rPr>
          <w:rFonts w:asciiTheme="majorBidi" w:hAnsiTheme="majorBidi" w:cstheme="majorBidi"/>
        </w:rPr>
        <w:t>x of participates has an effect on the neutrophils viability in FCS and AP cultures. The changes of the apoptosis</w:t>
      </w:r>
      <w:r>
        <w:rPr>
          <w:rFonts w:asciiTheme="majorBidi" w:hAnsiTheme="majorBidi" w:cstheme="majorBidi"/>
        </w:rPr>
        <w:t xml:space="preserve"> rate</w:t>
      </w:r>
      <w:r w:rsidRPr="00E85A58">
        <w:rPr>
          <w:rFonts w:asciiTheme="majorBidi" w:hAnsiTheme="majorBidi" w:cstheme="majorBidi"/>
        </w:rPr>
        <w:t xml:space="preserve"> (p=0.018) and the amount of live cell</w:t>
      </w:r>
      <w:r>
        <w:rPr>
          <w:rFonts w:asciiTheme="majorBidi" w:hAnsiTheme="majorBidi" w:cstheme="majorBidi"/>
        </w:rPr>
        <w:t>s</w:t>
      </w:r>
      <w:r w:rsidRPr="00E85A58">
        <w:rPr>
          <w:rFonts w:asciiTheme="majorBidi" w:hAnsiTheme="majorBidi" w:cstheme="majorBidi"/>
        </w:rPr>
        <w:t xml:space="preserve"> (p=0.022), under effect of the supplementation type (FCS or AP) over the time, was also influenced by the gender of subjects. The cell viability of neutrophils of men and women were better in AP-cultures; however the cells of men </w:t>
      </w:r>
      <w:r w:rsidR="00E72FCE">
        <w:rPr>
          <w:rFonts w:asciiTheme="majorBidi" w:hAnsiTheme="majorBidi" w:cstheme="majorBidi"/>
        </w:rPr>
        <w:t xml:space="preserve">were </w:t>
      </w:r>
      <w:r w:rsidRPr="00E85A58">
        <w:rPr>
          <w:rFonts w:asciiTheme="majorBidi" w:hAnsiTheme="majorBidi" w:cstheme="majorBidi"/>
        </w:rPr>
        <w:t xml:space="preserve">influenced </w:t>
      </w:r>
      <w:r w:rsidR="0003543B">
        <w:rPr>
          <w:rFonts w:asciiTheme="majorBidi" w:hAnsiTheme="majorBidi" w:cstheme="majorBidi"/>
        </w:rPr>
        <w:t>less</w:t>
      </w:r>
      <w:r w:rsidRPr="00E85A58">
        <w:rPr>
          <w:rFonts w:asciiTheme="majorBidi" w:hAnsiTheme="majorBidi" w:cstheme="majorBidi"/>
        </w:rPr>
        <w:t xml:space="preserve"> than women by the culture supplementation</w:t>
      </w:r>
      <w:r>
        <w:rPr>
          <w:rFonts w:asciiTheme="majorBidi" w:hAnsiTheme="majorBidi" w:cstheme="majorBidi"/>
        </w:rPr>
        <w:t xml:space="preserve"> (</w:t>
      </w:r>
      <w:r w:rsidRPr="00736014">
        <w:rPr>
          <w:rFonts w:asciiTheme="majorBidi" w:hAnsiTheme="majorBidi" w:cstheme="majorBidi"/>
        </w:rPr>
        <w:t xml:space="preserve">Figure </w:t>
      </w:r>
      <w:r w:rsidR="006B1C8D">
        <w:rPr>
          <w:rFonts w:asciiTheme="majorBidi" w:hAnsiTheme="majorBidi" w:cstheme="majorBidi"/>
        </w:rPr>
        <w:t>S1</w:t>
      </w:r>
      <w:r>
        <w:rPr>
          <w:rFonts w:asciiTheme="majorBidi" w:hAnsiTheme="majorBidi" w:cstheme="majorBidi"/>
        </w:rPr>
        <w:t xml:space="preserve">A &amp; </w:t>
      </w:r>
      <w:r w:rsidR="006B1C8D">
        <w:rPr>
          <w:rFonts w:asciiTheme="majorBidi" w:hAnsiTheme="majorBidi" w:cstheme="majorBidi"/>
        </w:rPr>
        <w:t>S1</w:t>
      </w:r>
      <w:r>
        <w:rPr>
          <w:rFonts w:asciiTheme="majorBidi" w:hAnsiTheme="majorBidi" w:cstheme="majorBidi"/>
        </w:rPr>
        <w:t>B)</w:t>
      </w:r>
      <w:r w:rsidRPr="00E85A58">
        <w:rPr>
          <w:rFonts w:asciiTheme="majorBidi" w:hAnsiTheme="majorBidi" w:cstheme="majorBidi"/>
        </w:rPr>
        <w:t>.</w:t>
      </w:r>
    </w:p>
    <w:p w:rsidR="00ED244B" w:rsidRPr="00ED244B" w:rsidRDefault="00ED244B" w:rsidP="00ED244B">
      <w:pPr>
        <w:spacing w:after="0" w:line="480" w:lineRule="auto"/>
        <w:jc w:val="both"/>
        <w:rPr>
          <w:rFonts w:asciiTheme="majorBidi" w:hAnsiTheme="majorBidi" w:cstheme="majorBidi"/>
        </w:rPr>
      </w:pPr>
      <w:r w:rsidRPr="00ED244B">
        <w:rPr>
          <w:rFonts w:asciiTheme="majorBidi" w:hAnsiTheme="majorBidi" w:cstheme="majorBidi"/>
        </w:rPr>
        <w:t xml:space="preserve">We also found no statistically significant effect of the gender of subjects on oxidative burst rate (p=0.715) as well as on CD11b expression (p=0.875) (Figure </w:t>
      </w:r>
      <w:r>
        <w:rPr>
          <w:rFonts w:asciiTheme="majorBidi" w:hAnsiTheme="majorBidi" w:cstheme="majorBidi"/>
        </w:rPr>
        <w:t>S1</w:t>
      </w:r>
      <w:r w:rsidRPr="00ED244B">
        <w:rPr>
          <w:rFonts w:asciiTheme="majorBidi" w:hAnsiTheme="majorBidi" w:cstheme="majorBidi"/>
        </w:rPr>
        <w:t xml:space="preserve">C &amp; </w:t>
      </w:r>
      <w:r>
        <w:rPr>
          <w:rFonts w:asciiTheme="majorBidi" w:hAnsiTheme="majorBidi" w:cstheme="majorBidi"/>
        </w:rPr>
        <w:t>S1</w:t>
      </w:r>
      <w:r w:rsidRPr="00ED244B">
        <w:rPr>
          <w:rFonts w:asciiTheme="majorBidi" w:hAnsiTheme="majorBidi" w:cstheme="majorBidi"/>
        </w:rPr>
        <w:t xml:space="preserve">D).   </w:t>
      </w:r>
    </w:p>
    <w:p w:rsidR="00ED244B" w:rsidRPr="00E85A58" w:rsidRDefault="00ED244B" w:rsidP="0003543B">
      <w:pPr>
        <w:spacing w:after="0" w:line="480" w:lineRule="auto"/>
        <w:jc w:val="both"/>
        <w:rPr>
          <w:rFonts w:asciiTheme="majorBidi" w:hAnsiTheme="majorBidi" w:cstheme="majorBidi"/>
        </w:rPr>
      </w:pPr>
    </w:p>
    <w:p w:rsidR="0032004B" w:rsidRDefault="0032004B" w:rsidP="00C232AF">
      <w:pPr>
        <w:spacing w:after="0" w:line="480" w:lineRule="auto"/>
        <w:jc w:val="both"/>
        <w:rPr>
          <w:rFonts w:asciiTheme="majorBidi" w:hAnsiTheme="majorBidi" w:cstheme="majorBidi"/>
          <w:b/>
          <w:bCs/>
          <w:sz w:val="20"/>
          <w:szCs w:val="20"/>
        </w:rPr>
      </w:pPr>
    </w:p>
    <w:p w:rsidR="005F0559" w:rsidRDefault="005F0559" w:rsidP="00C232AF">
      <w:pPr>
        <w:spacing w:after="0" w:line="480" w:lineRule="auto"/>
        <w:jc w:val="both"/>
        <w:rPr>
          <w:rFonts w:asciiTheme="majorBidi" w:hAnsiTheme="majorBidi" w:cstheme="majorBidi"/>
          <w:b/>
          <w:bCs/>
          <w:sz w:val="20"/>
          <w:szCs w:val="20"/>
        </w:rPr>
      </w:pPr>
    </w:p>
    <w:p w:rsidR="005F0559" w:rsidRDefault="005F0559" w:rsidP="00C232AF">
      <w:pPr>
        <w:spacing w:after="0" w:line="480" w:lineRule="auto"/>
        <w:jc w:val="both"/>
        <w:rPr>
          <w:rFonts w:asciiTheme="majorBidi" w:hAnsiTheme="majorBidi" w:cstheme="majorBidi"/>
          <w:b/>
          <w:bCs/>
          <w:sz w:val="20"/>
          <w:szCs w:val="20"/>
        </w:rPr>
      </w:pPr>
    </w:p>
    <w:p w:rsidR="005F0559" w:rsidRDefault="005F0559" w:rsidP="00C232AF">
      <w:pPr>
        <w:spacing w:after="0" w:line="480" w:lineRule="auto"/>
        <w:jc w:val="both"/>
        <w:rPr>
          <w:rFonts w:asciiTheme="majorBidi" w:hAnsiTheme="majorBidi" w:cstheme="majorBidi"/>
          <w:b/>
          <w:bCs/>
          <w:sz w:val="20"/>
          <w:szCs w:val="20"/>
        </w:rPr>
      </w:pPr>
    </w:p>
    <w:p w:rsidR="005F0559" w:rsidRDefault="005F0559" w:rsidP="00C232AF">
      <w:pPr>
        <w:spacing w:after="0" w:line="480" w:lineRule="auto"/>
        <w:jc w:val="both"/>
        <w:rPr>
          <w:rFonts w:asciiTheme="majorBidi" w:hAnsiTheme="majorBidi" w:cstheme="majorBidi"/>
          <w:b/>
          <w:bCs/>
          <w:sz w:val="20"/>
          <w:szCs w:val="20"/>
        </w:rPr>
      </w:pPr>
    </w:p>
    <w:p w:rsidR="005F0559" w:rsidRDefault="005F0559" w:rsidP="00C232AF">
      <w:pPr>
        <w:spacing w:after="0" w:line="480" w:lineRule="auto"/>
        <w:jc w:val="both"/>
        <w:rPr>
          <w:rFonts w:asciiTheme="majorBidi" w:hAnsiTheme="majorBidi" w:cstheme="majorBidi"/>
          <w:b/>
          <w:bCs/>
          <w:sz w:val="20"/>
          <w:szCs w:val="20"/>
        </w:rPr>
      </w:pPr>
    </w:p>
    <w:p w:rsidR="005F0559" w:rsidRDefault="005F0559" w:rsidP="00C232AF">
      <w:pPr>
        <w:spacing w:after="0" w:line="480" w:lineRule="auto"/>
        <w:jc w:val="both"/>
        <w:rPr>
          <w:rFonts w:asciiTheme="majorBidi" w:hAnsiTheme="majorBidi" w:cstheme="majorBidi"/>
          <w:b/>
          <w:bCs/>
          <w:sz w:val="20"/>
          <w:szCs w:val="20"/>
        </w:rPr>
      </w:pPr>
    </w:p>
    <w:p w:rsidR="005F0559" w:rsidRDefault="005F0559" w:rsidP="00C232AF">
      <w:pPr>
        <w:spacing w:after="0" w:line="480" w:lineRule="auto"/>
        <w:jc w:val="both"/>
        <w:rPr>
          <w:rFonts w:asciiTheme="majorBidi" w:hAnsiTheme="majorBidi" w:cstheme="majorBidi"/>
          <w:b/>
          <w:bCs/>
          <w:sz w:val="20"/>
          <w:szCs w:val="20"/>
        </w:rPr>
      </w:pPr>
    </w:p>
    <w:p w:rsidR="005F0559" w:rsidRDefault="005F0559" w:rsidP="00C232AF">
      <w:pPr>
        <w:spacing w:after="0" w:line="480" w:lineRule="auto"/>
        <w:jc w:val="both"/>
        <w:rPr>
          <w:rFonts w:asciiTheme="majorBidi" w:hAnsiTheme="majorBidi" w:cstheme="majorBidi"/>
          <w:b/>
          <w:bCs/>
          <w:sz w:val="20"/>
          <w:szCs w:val="20"/>
        </w:rPr>
      </w:pPr>
      <w:bookmarkStart w:id="0" w:name="_GoBack"/>
      <w:bookmarkEnd w:id="0"/>
    </w:p>
    <w:p w:rsidR="00F81FD7" w:rsidRDefault="004753EE" w:rsidP="00666084">
      <w:r>
        <w:rPr>
          <w:noProof/>
        </w:rPr>
        <w:lastRenderedPageBreak/>
        <w:drawing>
          <wp:inline distT="0" distB="0" distL="0" distR="0">
            <wp:extent cx="2683823" cy="2059604"/>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jpg"/>
                    <pic:cNvPicPr/>
                  </pic:nvPicPr>
                  <pic:blipFill>
                    <a:blip r:embed="rId6">
                      <a:extLst>
                        <a:ext uri="{28A0092B-C50C-407E-A947-70E740481C1C}">
                          <a14:useLocalDpi xmlns:a14="http://schemas.microsoft.com/office/drawing/2010/main" val="0"/>
                        </a:ext>
                      </a:extLst>
                    </a:blip>
                    <a:stretch>
                      <a:fillRect/>
                    </a:stretch>
                  </pic:blipFill>
                  <pic:spPr>
                    <a:xfrm>
                      <a:off x="0" y="0"/>
                      <a:ext cx="2733566" cy="2097778"/>
                    </a:xfrm>
                    <a:prstGeom prst="rect">
                      <a:avLst/>
                    </a:prstGeom>
                  </pic:spPr>
                </pic:pic>
              </a:graphicData>
            </a:graphic>
          </wp:inline>
        </w:drawing>
      </w:r>
      <w:r>
        <w:t xml:space="preserve"> </w:t>
      </w:r>
      <w:r>
        <w:rPr>
          <w:noProof/>
        </w:rPr>
        <w:drawing>
          <wp:inline distT="0" distB="0" distL="0" distR="0">
            <wp:extent cx="2755075" cy="2061098"/>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B.png"/>
                    <pic:cNvPicPr/>
                  </pic:nvPicPr>
                  <pic:blipFill>
                    <a:blip r:embed="rId7">
                      <a:extLst>
                        <a:ext uri="{28A0092B-C50C-407E-A947-70E740481C1C}">
                          <a14:useLocalDpi xmlns:a14="http://schemas.microsoft.com/office/drawing/2010/main" val="0"/>
                        </a:ext>
                      </a:extLst>
                    </a:blip>
                    <a:stretch>
                      <a:fillRect/>
                    </a:stretch>
                  </pic:blipFill>
                  <pic:spPr>
                    <a:xfrm>
                      <a:off x="0" y="0"/>
                      <a:ext cx="2804900" cy="2098372"/>
                    </a:xfrm>
                    <a:prstGeom prst="rect">
                      <a:avLst/>
                    </a:prstGeom>
                  </pic:spPr>
                </pic:pic>
              </a:graphicData>
            </a:graphic>
          </wp:inline>
        </w:drawing>
      </w:r>
    </w:p>
    <w:p w:rsidR="00FF2634" w:rsidRDefault="00731CBD" w:rsidP="00FF2634">
      <w:pPr>
        <w:keepNext/>
      </w:pPr>
      <w:r>
        <w:rPr>
          <w:noProof/>
        </w:rPr>
        <w:drawing>
          <wp:inline distT="0" distB="0" distL="0" distR="0" wp14:anchorId="66F4645D" wp14:editId="48BB245E">
            <wp:extent cx="2681218" cy="1965367"/>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C.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03108" cy="1981413"/>
                    </a:xfrm>
                    <a:prstGeom prst="rect">
                      <a:avLst/>
                    </a:prstGeom>
                  </pic:spPr>
                </pic:pic>
              </a:graphicData>
            </a:graphic>
          </wp:inline>
        </w:drawing>
      </w:r>
      <w:r>
        <w:rPr>
          <w:noProof/>
        </w:rPr>
        <w:drawing>
          <wp:inline distT="0" distB="0" distL="0" distR="0" wp14:anchorId="4E6F0928" wp14:editId="14BF29A9">
            <wp:extent cx="1080654" cy="964758"/>
            <wp:effectExtent l="0" t="0" r="5715" b="698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63683" cy="1038882"/>
                    </a:xfrm>
                    <a:prstGeom prst="rect">
                      <a:avLst/>
                    </a:prstGeom>
                  </pic:spPr>
                </pic:pic>
              </a:graphicData>
            </a:graphic>
          </wp:inline>
        </w:drawing>
      </w:r>
      <w:r>
        <w:rPr>
          <w:noProof/>
        </w:rPr>
        <w:drawing>
          <wp:inline distT="0" distB="0" distL="0" distR="0" wp14:anchorId="04AE01FA" wp14:editId="228E9589">
            <wp:extent cx="1739735" cy="1819910"/>
            <wp:effectExtent l="0" t="0" r="0" b="889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D.png"/>
                    <pic:cNvPicPr/>
                  </pic:nvPicPr>
                  <pic:blipFill>
                    <a:blip r:embed="rId10">
                      <a:extLst>
                        <a:ext uri="{28A0092B-C50C-407E-A947-70E740481C1C}">
                          <a14:useLocalDpi xmlns:a14="http://schemas.microsoft.com/office/drawing/2010/main" val="0"/>
                        </a:ext>
                      </a:extLst>
                    </a:blip>
                    <a:stretch>
                      <a:fillRect/>
                    </a:stretch>
                  </pic:blipFill>
                  <pic:spPr>
                    <a:xfrm>
                      <a:off x="0" y="0"/>
                      <a:ext cx="1771239" cy="1852865"/>
                    </a:xfrm>
                    <a:prstGeom prst="rect">
                      <a:avLst/>
                    </a:prstGeom>
                  </pic:spPr>
                </pic:pic>
              </a:graphicData>
            </a:graphic>
          </wp:inline>
        </w:drawing>
      </w:r>
    </w:p>
    <w:p w:rsidR="00FF2634" w:rsidRPr="0039409F" w:rsidRDefault="00FF2634" w:rsidP="00414431">
      <w:pPr>
        <w:spacing w:after="0" w:line="480" w:lineRule="auto"/>
        <w:jc w:val="both"/>
        <w:rPr>
          <w:rFonts w:asciiTheme="majorBidi" w:hAnsiTheme="majorBidi" w:cstheme="majorBidi"/>
          <w:sz w:val="20"/>
          <w:szCs w:val="20"/>
        </w:rPr>
      </w:pPr>
      <w:r w:rsidRPr="0039409F">
        <w:rPr>
          <w:rFonts w:asciiTheme="majorBidi" w:hAnsiTheme="majorBidi" w:cstheme="majorBidi"/>
          <w:b/>
          <w:bCs/>
          <w:sz w:val="20"/>
          <w:szCs w:val="20"/>
        </w:rPr>
        <w:t xml:space="preserve">Figure </w:t>
      </w:r>
      <w:r w:rsidR="00E922AB">
        <w:rPr>
          <w:rFonts w:asciiTheme="majorBidi" w:hAnsiTheme="majorBidi" w:cstheme="majorBidi"/>
          <w:b/>
          <w:bCs/>
          <w:sz w:val="20"/>
          <w:szCs w:val="20"/>
        </w:rPr>
        <w:t>S1</w:t>
      </w:r>
      <w:r w:rsidRPr="0039409F">
        <w:rPr>
          <w:rFonts w:asciiTheme="majorBidi" w:hAnsiTheme="majorBidi" w:cstheme="majorBidi"/>
          <w:b/>
          <w:bCs/>
          <w:sz w:val="20"/>
          <w:szCs w:val="20"/>
        </w:rPr>
        <w:t>. The neutrophils of men and women behave somewhat differently in AP- and F</w:t>
      </w:r>
      <w:r>
        <w:rPr>
          <w:rFonts w:asciiTheme="majorBidi" w:hAnsiTheme="majorBidi" w:cstheme="majorBidi"/>
          <w:b/>
          <w:bCs/>
          <w:sz w:val="20"/>
          <w:szCs w:val="20"/>
        </w:rPr>
        <w:t>CS</w:t>
      </w:r>
      <w:r w:rsidRPr="0039409F">
        <w:rPr>
          <w:rFonts w:asciiTheme="majorBidi" w:hAnsiTheme="majorBidi" w:cstheme="majorBidi"/>
          <w:b/>
          <w:bCs/>
          <w:sz w:val="20"/>
          <w:szCs w:val="20"/>
        </w:rPr>
        <w:t>-supplemented cell cultures.</w:t>
      </w:r>
      <w:r w:rsidRPr="0039409F">
        <w:rPr>
          <w:rFonts w:asciiTheme="majorBidi" w:hAnsiTheme="majorBidi" w:cstheme="majorBidi"/>
          <w:sz w:val="21"/>
          <w:szCs w:val="21"/>
        </w:rPr>
        <w:t xml:space="preserve"> </w:t>
      </w:r>
      <w:r w:rsidRPr="0039409F">
        <w:rPr>
          <w:rFonts w:asciiTheme="majorBidi" w:hAnsiTheme="majorBidi" w:cstheme="majorBidi"/>
          <w:sz w:val="20"/>
          <w:szCs w:val="20"/>
        </w:rPr>
        <w:t xml:space="preserve">For male, the differences between viable (plot A) and apoptotic cells (plot B) were significant only at 60 h (n=14) but for female, these differences were not significant only at 12 h (n=18). The </w:t>
      </w:r>
      <w:r>
        <w:rPr>
          <w:rFonts w:asciiTheme="majorBidi" w:hAnsiTheme="majorBidi" w:cstheme="majorBidi"/>
          <w:sz w:val="20"/>
          <w:szCs w:val="20"/>
        </w:rPr>
        <w:t xml:space="preserve">rate of </w:t>
      </w:r>
      <w:r w:rsidRPr="0039409F">
        <w:rPr>
          <w:rFonts w:asciiTheme="majorBidi" w:hAnsiTheme="majorBidi" w:cstheme="majorBidi"/>
          <w:sz w:val="20"/>
          <w:szCs w:val="20"/>
        </w:rPr>
        <w:t>“oxidative index” (plot C) and the increased CD11b expression (plot D) in the neutrophils of two s</w:t>
      </w:r>
      <w:r w:rsidR="00414431">
        <w:rPr>
          <w:rFonts w:asciiTheme="majorBidi" w:hAnsiTheme="majorBidi" w:cstheme="majorBidi"/>
          <w:sz w:val="20"/>
          <w:szCs w:val="20"/>
        </w:rPr>
        <w:t>e</w:t>
      </w:r>
      <w:r w:rsidRPr="0039409F">
        <w:rPr>
          <w:rFonts w:asciiTheme="majorBidi" w:hAnsiTheme="majorBidi" w:cstheme="majorBidi"/>
          <w:sz w:val="20"/>
          <w:szCs w:val="20"/>
        </w:rPr>
        <w:t>x subgroups which cultured with two different s</w:t>
      </w:r>
      <w:r>
        <w:rPr>
          <w:rFonts w:asciiTheme="majorBidi" w:hAnsiTheme="majorBidi" w:cstheme="majorBidi"/>
          <w:sz w:val="20"/>
          <w:szCs w:val="20"/>
        </w:rPr>
        <w:t>upplement</w:t>
      </w:r>
      <w:r w:rsidR="007B11A5">
        <w:rPr>
          <w:rFonts w:asciiTheme="majorBidi" w:hAnsiTheme="majorBidi" w:cstheme="majorBidi"/>
          <w:sz w:val="20"/>
          <w:szCs w:val="20"/>
        </w:rPr>
        <w:t>ation</w:t>
      </w:r>
      <w:r>
        <w:rPr>
          <w:rFonts w:asciiTheme="majorBidi" w:hAnsiTheme="majorBidi" w:cstheme="majorBidi"/>
          <w:sz w:val="20"/>
          <w:szCs w:val="20"/>
        </w:rPr>
        <w:t>s over time were shown</w:t>
      </w:r>
      <w:r w:rsidRPr="0039409F">
        <w:rPr>
          <w:rFonts w:asciiTheme="majorBidi" w:hAnsiTheme="majorBidi" w:cstheme="majorBidi"/>
          <w:sz w:val="20"/>
          <w:szCs w:val="20"/>
        </w:rPr>
        <w:t>.</w:t>
      </w:r>
    </w:p>
    <w:p w:rsidR="00731CBD" w:rsidRPr="00981EE9" w:rsidRDefault="00731CBD" w:rsidP="00FF2634">
      <w:pPr>
        <w:pStyle w:val="Caption"/>
        <w:rPr>
          <w:i w:val="0"/>
          <w:iCs w:val="0"/>
        </w:rPr>
      </w:pPr>
    </w:p>
    <w:sectPr w:rsidR="00731CBD" w:rsidRPr="00981EE9" w:rsidSect="00203B5F">
      <w:headerReference w:type="even" r:id="rId11"/>
      <w:headerReference w:type="default" r:id="rId12"/>
      <w:footerReference w:type="even" r:id="rId13"/>
      <w:footerReference w:type="default" r:id="rId14"/>
      <w:headerReference w:type="first" r:id="rId15"/>
      <w:footerReference w:type="first" r:id="rId16"/>
      <w:pgSz w:w="12240" w:h="15840"/>
      <w:pgMar w:top="1440" w:right="1644" w:bottom="1440" w:left="1701" w:header="720" w:footer="720" w:gutter="0"/>
      <w:lnNumType w:countBy="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00343" w:rsidRDefault="00900343" w:rsidP="00545B76">
      <w:pPr>
        <w:spacing w:after="0" w:line="240" w:lineRule="auto"/>
      </w:pPr>
      <w:r>
        <w:separator/>
      </w:r>
    </w:p>
  </w:endnote>
  <w:endnote w:type="continuationSeparator" w:id="0">
    <w:p w:rsidR="00900343" w:rsidRDefault="00900343" w:rsidP="00545B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5B76" w:rsidRDefault="00545B7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043442"/>
      <w:docPartObj>
        <w:docPartGallery w:val="Page Numbers (Bottom of Page)"/>
        <w:docPartUnique/>
      </w:docPartObj>
    </w:sdtPr>
    <w:sdtEndPr>
      <w:rPr>
        <w:noProof/>
      </w:rPr>
    </w:sdtEndPr>
    <w:sdtContent>
      <w:p w:rsidR="00545B76" w:rsidRDefault="00545B76">
        <w:pPr>
          <w:pStyle w:val="Footer"/>
          <w:jc w:val="center"/>
        </w:pPr>
        <w:r>
          <w:fldChar w:fldCharType="begin"/>
        </w:r>
        <w:r>
          <w:instrText xml:space="preserve"> PAGE   \* MERGEFORMAT </w:instrText>
        </w:r>
        <w:r>
          <w:fldChar w:fldCharType="separate"/>
        </w:r>
        <w:r w:rsidR="005F0559">
          <w:rPr>
            <w:noProof/>
          </w:rPr>
          <w:t>2</w:t>
        </w:r>
        <w:r>
          <w:rPr>
            <w:noProof/>
          </w:rPr>
          <w:fldChar w:fldCharType="end"/>
        </w:r>
      </w:p>
    </w:sdtContent>
  </w:sdt>
  <w:p w:rsidR="00545B76" w:rsidRDefault="00545B7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5B76" w:rsidRDefault="00545B7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00343" w:rsidRDefault="00900343" w:rsidP="00545B76">
      <w:pPr>
        <w:spacing w:after="0" w:line="240" w:lineRule="auto"/>
      </w:pPr>
      <w:r>
        <w:separator/>
      </w:r>
    </w:p>
  </w:footnote>
  <w:footnote w:type="continuationSeparator" w:id="0">
    <w:p w:rsidR="00900343" w:rsidRDefault="00900343" w:rsidP="00545B7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5B76" w:rsidRDefault="00545B7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5B76" w:rsidRDefault="00545B7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5B76" w:rsidRDefault="00545B7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0526"/>
    <w:rsid w:val="0003543B"/>
    <w:rsid w:val="000A7795"/>
    <w:rsid w:val="000E5EB0"/>
    <w:rsid w:val="001C581A"/>
    <w:rsid w:val="001F3711"/>
    <w:rsid w:val="00203B5F"/>
    <w:rsid w:val="0021185E"/>
    <w:rsid w:val="0032004B"/>
    <w:rsid w:val="0039409F"/>
    <w:rsid w:val="00414431"/>
    <w:rsid w:val="004753EE"/>
    <w:rsid w:val="004E0526"/>
    <w:rsid w:val="00545B76"/>
    <w:rsid w:val="005F0559"/>
    <w:rsid w:val="00666084"/>
    <w:rsid w:val="00691ED2"/>
    <w:rsid w:val="006B1C8D"/>
    <w:rsid w:val="00731CBD"/>
    <w:rsid w:val="007B11A5"/>
    <w:rsid w:val="00826869"/>
    <w:rsid w:val="008A2930"/>
    <w:rsid w:val="00900343"/>
    <w:rsid w:val="00981EE9"/>
    <w:rsid w:val="009D4B0E"/>
    <w:rsid w:val="00C232AF"/>
    <w:rsid w:val="00C92978"/>
    <w:rsid w:val="00E72FCE"/>
    <w:rsid w:val="00E922AB"/>
    <w:rsid w:val="00ED244B"/>
    <w:rsid w:val="00F6796F"/>
    <w:rsid w:val="00F74038"/>
    <w:rsid w:val="00F81FD7"/>
    <w:rsid w:val="00FF263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094551B-22FD-454F-915E-F2BE743193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39409F"/>
    <w:pPr>
      <w:spacing w:after="200" w:line="240" w:lineRule="auto"/>
    </w:pPr>
    <w:rPr>
      <w:i/>
      <w:iCs/>
      <w:color w:val="44546A" w:themeColor="text2"/>
      <w:sz w:val="18"/>
      <w:szCs w:val="18"/>
    </w:rPr>
  </w:style>
  <w:style w:type="character" w:styleId="LineNumber">
    <w:name w:val="line number"/>
    <w:basedOn w:val="DefaultParagraphFont"/>
    <w:uiPriority w:val="99"/>
    <w:semiHidden/>
    <w:unhideWhenUsed/>
    <w:rsid w:val="00203B5F"/>
  </w:style>
  <w:style w:type="paragraph" w:styleId="Header">
    <w:name w:val="header"/>
    <w:basedOn w:val="Normal"/>
    <w:link w:val="HeaderChar"/>
    <w:uiPriority w:val="99"/>
    <w:unhideWhenUsed/>
    <w:rsid w:val="00545B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5B76"/>
  </w:style>
  <w:style w:type="paragraph" w:styleId="Footer">
    <w:name w:val="footer"/>
    <w:basedOn w:val="Normal"/>
    <w:link w:val="FooterChar"/>
    <w:uiPriority w:val="99"/>
    <w:unhideWhenUsed/>
    <w:rsid w:val="00545B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5B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3.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header" Target="header3.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2</Pages>
  <Words>189</Words>
  <Characters>1083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Ashna</dc:creator>
  <cp:keywords/>
  <dc:description/>
  <cp:lastModifiedBy>Ashna</cp:lastModifiedBy>
  <cp:revision>29</cp:revision>
  <dcterms:created xsi:type="dcterms:W3CDTF">2019-09-11T04:14:00Z</dcterms:created>
  <dcterms:modified xsi:type="dcterms:W3CDTF">2019-10-02T06:21:00Z</dcterms:modified>
</cp:coreProperties>
</file>